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E03F0C" w14:textId="6F9A626E" w:rsidR="00D6460E" w:rsidRPr="00242E7B" w:rsidRDefault="00D6460E" w:rsidP="008C5A7C">
      <w:pPr>
        <w:pStyle w:val="StandardWeb"/>
        <w:suppressAutoHyphens/>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 Sicherheitstechnik | Datum</w:t>
      </w:r>
      <w:r>
        <w:rPr>
          <w:rFonts w:ascii="Arial" w:hAnsi="Arial" w:cs="Arial"/>
          <w:color w:val="808080"/>
          <w:sz w:val="16"/>
          <w:szCs w:val="16"/>
        </w:rPr>
        <w:t xml:space="preserve"> </w:t>
      </w:r>
      <w:r w:rsidR="0080311A">
        <w:rPr>
          <w:rFonts w:ascii="Arial" w:hAnsi="Arial" w:cs="Arial"/>
          <w:color w:val="808080"/>
          <w:sz w:val="16"/>
          <w:szCs w:val="16"/>
        </w:rPr>
        <w:t>04</w:t>
      </w:r>
      <w:r>
        <w:rPr>
          <w:rFonts w:ascii="Arial" w:hAnsi="Arial" w:cs="Arial"/>
          <w:color w:val="808080"/>
          <w:sz w:val="16"/>
          <w:szCs w:val="16"/>
        </w:rPr>
        <w:t>.</w:t>
      </w:r>
      <w:r w:rsidR="004E28EF">
        <w:rPr>
          <w:rFonts w:ascii="Arial" w:hAnsi="Arial" w:cs="Arial"/>
          <w:color w:val="808080"/>
          <w:sz w:val="16"/>
          <w:szCs w:val="16"/>
        </w:rPr>
        <w:t>0</w:t>
      </w:r>
      <w:r w:rsidR="0080311A">
        <w:rPr>
          <w:rFonts w:ascii="Arial" w:hAnsi="Arial" w:cs="Arial"/>
          <w:color w:val="808080"/>
          <w:sz w:val="16"/>
          <w:szCs w:val="16"/>
        </w:rPr>
        <w:t>2</w:t>
      </w:r>
      <w:r>
        <w:rPr>
          <w:rFonts w:ascii="Arial" w:hAnsi="Arial" w:cs="Arial"/>
          <w:color w:val="808080"/>
          <w:sz w:val="16"/>
          <w:szCs w:val="16"/>
        </w:rPr>
        <w:t>.202</w:t>
      </w:r>
      <w:r w:rsidR="004E28EF">
        <w:rPr>
          <w:rFonts w:ascii="Arial" w:hAnsi="Arial" w:cs="Arial"/>
          <w:color w:val="808080"/>
          <w:sz w:val="16"/>
          <w:szCs w:val="16"/>
        </w:rPr>
        <w:t>5</w:t>
      </w:r>
      <w:r>
        <w:rPr>
          <w:rFonts w:ascii="Arial" w:hAnsi="Arial" w:cs="Arial"/>
          <w:color w:val="808080"/>
          <w:sz w:val="16"/>
          <w:szCs w:val="16"/>
        </w:rPr>
        <w:t xml:space="preserve"> </w:t>
      </w:r>
      <w:r w:rsidRPr="00F63B08">
        <w:rPr>
          <w:rFonts w:ascii="Arial" w:hAnsi="Arial" w:cs="Arial"/>
          <w:color w:val="808080"/>
          <w:sz w:val="16"/>
          <w:szCs w:val="16"/>
        </w:rPr>
        <w:t xml:space="preserve">| Text und Bild unter: </w:t>
      </w:r>
      <w:r w:rsidRPr="00462431">
        <w:rPr>
          <w:rFonts w:ascii="Arial" w:hAnsi="Arial" w:cs="Arial"/>
          <w:color w:val="808080"/>
          <w:sz w:val="16"/>
          <w:szCs w:val="16"/>
        </w:rPr>
        <w:t>www.der-pressedienst.de/sicherheitstechnik</w:t>
      </w:r>
    </w:p>
    <w:p w14:paraId="56DF7557" w14:textId="77777777" w:rsidR="00D6460E" w:rsidRPr="00242E7B" w:rsidRDefault="00D6460E" w:rsidP="008C5A7C">
      <w:pPr>
        <w:pStyle w:val="Textkrper"/>
        <w:suppressAutoHyphens/>
        <w:spacing w:line="300" w:lineRule="atLeast"/>
        <w:ind w:right="16"/>
        <w:rPr>
          <w:rFonts w:ascii="Arial" w:hAnsi="Arial" w:cs="Arial"/>
          <w:b/>
          <w:bCs/>
          <w:color w:val="808080"/>
          <w:sz w:val="28"/>
          <w:szCs w:val="28"/>
          <w:lang w:val="de-DE"/>
        </w:rPr>
      </w:pPr>
    </w:p>
    <w:p w14:paraId="55A57D78" w14:textId="7CC019A7" w:rsidR="00D6460E" w:rsidRPr="00161D52" w:rsidRDefault="004E28EF" w:rsidP="008C5A7C">
      <w:pPr>
        <w:suppressAutoHyphens/>
        <w:rPr>
          <w:rFonts w:ascii="Arial" w:hAnsi="Arial" w:cs="Arial"/>
          <w:b/>
        </w:rPr>
      </w:pPr>
      <w:r>
        <w:rPr>
          <w:rFonts w:ascii="Arial" w:hAnsi="Arial" w:cs="Arial"/>
          <w:b/>
        </w:rPr>
        <w:t>Abschaltung der GSM</w:t>
      </w:r>
      <w:r w:rsidR="008C5A7C">
        <w:rPr>
          <w:rFonts w:ascii="Arial" w:hAnsi="Arial" w:cs="Arial"/>
          <w:b/>
        </w:rPr>
        <w:t>-</w:t>
      </w:r>
      <w:r>
        <w:rPr>
          <w:rFonts w:ascii="Arial" w:hAnsi="Arial" w:cs="Arial"/>
          <w:b/>
        </w:rPr>
        <w:t xml:space="preserve"> und GPRS</w:t>
      </w:r>
      <w:r w:rsidR="008C5A7C">
        <w:rPr>
          <w:rFonts w:ascii="Arial" w:hAnsi="Arial" w:cs="Arial"/>
          <w:b/>
        </w:rPr>
        <w:t>-</w:t>
      </w:r>
      <w:r>
        <w:rPr>
          <w:rFonts w:ascii="Arial" w:hAnsi="Arial" w:cs="Arial"/>
          <w:b/>
        </w:rPr>
        <w:t>Mobilfunknetze bis 2028</w:t>
      </w:r>
    </w:p>
    <w:p w14:paraId="48CB4FE4" w14:textId="77777777" w:rsidR="00D6460E" w:rsidRDefault="00D6460E" w:rsidP="008C5A7C">
      <w:pPr>
        <w:suppressAutoHyphens/>
        <w:rPr>
          <w:rFonts w:ascii="Arial" w:hAnsi="Arial" w:cs="Arial"/>
          <w:b/>
          <w:bCs/>
          <w:sz w:val="28"/>
          <w:szCs w:val="28"/>
        </w:rPr>
      </w:pPr>
    </w:p>
    <w:p w14:paraId="3AC4BBDD" w14:textId="3E718A30" w:rsidR="00D6460E" w:rsidRPr="00161D52" w:rsidRDefault="004E28EF" w:rsidP="008C5A7C">
      <w:pPr>
        <w:suppressAutoHyphens/>
        <w:rPr>
          <w:rFonts w:ascii="Arial" w:hAnsi="Arial" w:cs="Arial"/>
          <w:b/>
          <w:bCs/>
          <w:sz w:val="28"/>
          <w:szCs w:val="28"/>
        </w:rPr>
      </w:pPr>
      <w:r>
        <w:rPr>
          <w:rFonts w:ascii="Arial" w:hAnsi="Arial" w:cs="Arial"/>
          <w:b/>
          <w:bCs/>
          <w:sz w:val="28"/>
          <w:szCs w:val="28"/>
        </w:rPr>
        <w:t>Sichere Alarmübertragung auch nach 2G-</w:t>
      </w:r>
      <w:r w:rsidR="00401F88">
        <w:rPr>
          <w:rFonts w:ascii="Arial" w:hAnsi="Arial" w:cs="Arial"/>
          <w:b/>
          <w:bCs/>
          <w:sz w:val="28"/>
          <w:szCs w:val="28"/>
        </w:rPr>
        <w:t>Abschaltung mit T</w:t>
      </w:r>
      <w:r w:rsidR="001E22E6">
        <w:rPr>
          <w:rFonts w:ascii="Arial" w:hAnsi="Arial" w:cs="Arial"/>
          <w:b/>
          <w:bCs/>
          <w:sz w:val="28"/>
          <w:szCs w:val="28"/>
        </w:rPr>
        <w:t>elenot</w:t>
      </w:r>
    </w:p>
    <w:p w14:paraId="2867E58D" w14:textId="77777777" w:rsidR="00D6460E" w:rsidRPr="00EB34A0" w:rsidRDefault="00D6460E" w:rsidP="008C5A7C">
      <w:pPr>
        <w:suppressAutoHyphens/>
        <w:rPr>
          <w:rFonts w:ascii="Arial" w:hAnsi="Arial" w:cs="Arial"/>
          <w:sz w:val="20"/>
          <w:highlight w:val="yellow"/>
        </w:rPr>
      </w:pPr>
    </w:p>
    <w:p w14:paraId="726060D8" w14:textId="3277E440" w:rsidR="001E22E6" w:rsidRDefault="00EB318E" w:rsidP="008C5A7C">
      <w:pPr>
        <w:suppressAutoHyphens/>
        <w:rPr>
          <w:rFonts w:ascii="Arial" w:hAnsi="Arial" w:cs="Arial"/>
          <w:b/>
        </w:rPr>
      </w:pPr>
      <w:r w:rsidRPr="00EB318E">
        <w:rPr>
          <w:rFonts w:ascii="Arial" w:hAnsi="Arial" w:cs="Arial"/>
          <w:b/>
        </w:rPr>
        <w:t xml:space="preserve">Die geplante Abschaltung der 2G-Mobilfunknetze bis 2028 stellt Betreiber von </w:t>
      </w:r>
      <w:r w:rsidR="00CD37BB">
        <w:rPr>
          <w:rFonts w:ascii="Arial" w:hAnsi="Arial" w:cs="Arial"/>
          <w:b/>
        </w:rPr>
        <w:t>Gefahrenmelde</w:t>
      </w:r>
      <w:r w:rsidRPr="00EB318E">
        <w:rPr>
          <w:rFonts w:ascii="Arial" w:hAnsi="Arial" w:cs="Arial"/>
          <w:b/>
        </w:rPr>
        <w:t xml:space="preserve">anlagen vor große Herausforderungen: </w:t>
      </w:r>
      <w:r>
        <w:rPr>
          <w:rFonts w:ascii="Arial" w:hAnsi="Arial" w:cs="Arial"/>
          <w:b/>
        </w:rPr>
        <w:t xml:space="preserve">Die </w:t>
      </w:r>
      <w:r w:rsidRPr="00EB318E">
        <w:rPr>
          <w:rFonts w:ascii="Arial" w:hAnsi="Arial" w:cs="Arial"/>
          <w:b/>
        </w:rPr>
        <w:t xml:space="preserve">Systeme müssen umgerüstet werden, um weiterhin zuverlässig Notrufe und Alarmsignale </w:t>
      </w:r>
      <w:r w:rsidR="00401F88">
        <w:rPr>
          <w:rFonts w:ascii="Arial" w:hAnsi="Arial" w:cs="Arial"/>
          <w:b/>
        </w:rPr>
        <w:t xml:space="preserve">von Einbruch- und Brandmeldeanlagen </w:t>
      </w:r>
      <w:r w:rsidRPr="00EB318E">
        <w:rPr>
          <w:rFonts w:ascii="Arial" w:hAnsi="Arial" w:cs="Arial"/>
          <w:b/>
        </w:rPr>
        <w:t xml:space="preserve">übertragen zu können. Eine rechtzeitige Migration auf moderne </w:t>
      </w:r>
      <w:r w:rsidR="00401F88" w:rsidRPr="00EB318E">
        <w:rPr>
          <w:rFonts w:ascii="Arial" w:hAnsi="Arial" w:cs="Arial"/>
          <w:b/>
        </w:rPr>
        <w:t>Übertragungs</w:t>
      </w:r>
      <w:r w:rsidR="00401F88">
        <w:rPr>
          <w:rFonts w:ascii="Arial" w:hAnsi="Arial" w:cs="Arial"/>
          <w:b/>
        </w:rPr>
        <w:t>technik</w:t>
      </w:r>
      <w:r w:rsidR="00401F88" w:rsidRPr="00EB318E">
        <w:rPr>
          <w:rFonts w:ascii="Arial" w:hAnsi="Arial" w:cs="Arial"/>
          <w:b/>
        </w:rPr>
        <w:t xml:space="preserve"> </w:t>
      </w:r>
      <w:r w:rsidRPr="00EB318E">
        <w:rPr>
          <w:rFonts w:ascii="Arial" w:hAnsi="Arial" w:cs="Arial"/>
          <w:b/>
        </w:rPr>
        <w:t>ist unerlässlich.</w:t>
      </w:r>
      <w:r>
        <w:rPr>
          <w:rFonts w:ascii="Arial" w:hAnsi="Arial" w:cs="Arial"/>
          <w:b/>
        </w:rPr>
        <w:t xml:space="preserve"> </w:t>
      </w:r>
      <w:r w:rsidR="00401F88" w:rsidRPr="00401F88">
        <w:rPr>
          <w:rFonts w:ascii="Arial" w:hAnsi="Arial" w:cs="Arial"/>
          <w:b/>
        </w:rPr>
        <w:t>T</w:t>
      </w:r>
      <w:r w:rsidR="001E22E6">
        <w:rPr>
          <w:rFonts w:ascii="Arial" w:hAnsi="Arial" w:cs="Arial"/>
          <w:b/>
        </w:rPr>
        <w:t>elenot</w:t>
      </w:r>
      <w:r w:rsidR="00401F88" w:rsidRPr="00401F88">
        <w:rPr>
          <w:rFonts w:ascii="Arial" w:hAnsi="Arial" w:cs="Arial"/>
          <w:b/>
        </w:rPr>
        <w:t xml:space="preserve"> bietet ein vollumfängliches Programm an zukunftsfähigen Übertragungseinrichtungen und damit </w:t>
      </w:r>
      <w:r w:rsidR="00401F88">
        <w:rPr>
          <w:rFonts w:ascii="Arial" w:hAnsi="Arial" w:cs="Arial"/>
          <w:b/>
        </w:rPr>
        <w:t xml:space="preserve">zukunftsfähigen </w:t>
      </w:r>
      <w:r w:rsidR="00401F88" w:rsidRPr="00401F88">
        <w:rPr>
          <w:rFonts w:ascii="Arial" w:hAnsi="Arial" w:cs="Arial"/>
          <w:b/>
        </w:rPr>
        <w:t>Lösungen für die anstehende Migration</w:t>
      </w:r>
      <w:r w:rsidR="001E22E6">
        <w:rPr>
          <w:rFonts w:ascii="Arial" w:hAnsi="Arial" w:cs="Arial"/>
          <w:b/>
        </w:rPr>
        <w:t>.</w:t>
      </w:r>
    </w:p>
    <w:p w14:paraId="5DC7B905" w14:textId="77777777" w:rsidR="00EB318E" w:rsidRDefault="00EB318E" w:rsidP="008C5A7C">
      <w:pPr>
        <w:suppressAutoHyphens/>
        <w:rPr>
          <w:rFonts w:ascii="Arial" w:hAnsi="Arial" w:cs="Arial"/>
          <w:b/>
          <w:highlight w:val="yellow"/>
        </w:rPr>
      </w:pPr>
    </w:p>
    <w:p w14:paraId="07BB81FA" w14:textId="09C9F53B" w:rsidR="00EB318E" w:rsidRPr="00EB318E" w:rsidRDefault="00EB318E" w:rsidP="008C5A7C">
      <w:pPr>
        <w:suppressAutoHyphens/>
        <w:rPr>
          <w:rFonts w:ascii="Arial" w:hAnsi="Arial" w:cs="Arial"/>
        </w:rPr>
      </w:pPr>
      <w:r w:rsidRPr="00EB318E">
        <w:rPr>
          <w:rFonts w:ascii="Arial" w:hAnsi="Arial" w:cs="Arial"/>
        </w:rPr>
        <w:t xml:space="preserve">Nachdem im Jahr 2021 die 3G-Mobilfunknetze in Deutschland abgeschaltet wurden, steht bis 2028 der Ausstieg aus </w:t>
      </w:r>
      <w:r w:rsidR="00401F88">
        <w:rPr>
          <w:rFonts w:ascii="Arial" w:hAnsi="Arial" w:cs="Arial"/>
        </w:rPr>
        <w:t>dem</w:t>
      </w:r>
      <w:r w:rsidR="00401F88" w:rsidRPr="00EB318E">
        <w:rPr>
          <w:rFonts w:ascii="Arial" w:hAnsi="Arial" w:cs="Arial"/>
        </w:rPr>
        <w:t xml:space="preserve"> </w:t>
      </w:r>
      <w:r w:rsidRPr="00EB318E">
        <w:rPr>
          <w:rFonts w:ascii="Arial" w:hAnsi="Arial" w:cs="Arial"/>
        </w:rPr>
        <w:t>2G-Netz (GSM und GPRS) bevor. Dieses ältere Netz wurde bislang beibehalten, da es essenzielle Dienste wie Sprachtelefonie, SMS sowie Notruf- und Alarmsysteme (z. B. in Aufzügen) unterstützt. Mit der bevorstehenden Abschaltung des 2G-Netzes wird jedoch keine Alarmübertragung mehr über diese Technologie möglich sein – weder per Sprache noch via IP-Übertragung. Alle Sprach- und Datendienste (einschließlich des CSD-Protokolls) sowie SMS werden funktionslos.</w:t>
      </w:r>
    </w:p>
    <w:p w14:paraId="4E356239" w14:textId="77777777" w:rsidR="00EB318E" w:rsidRDefault="00EB318E" w:rsidP="008C5A7C">
      <w:pPr>
        <w:suppressAutoHyphens/>
        <w:rPr>
          <w:rFonts w:ascii="Arial" w:hAnsi="Arial" w:cs="Arial"/>
        </w:rPr>
      </w:pPr>
    </w:p>
    <w:p w14:paraId="3F7609B2" w14:textId="1BD179AB" w:rsidR="00EB318E" w:rsidRPr="00EB318E" w:rsidRDefault="00EB318E" w:rsidP="008C5A7C">
      <w:pPr>
        <w:suppressAutoHyphens/>
        <w:rPr>
          <w:rFonts w:ascii="Arial" w:hAnsi="Arial" w:cs="Arial"/>
          <w:b/>
        </w:rPr>
      </w:pPr>
      <w:r w:rsidRPr="00EB318E">
        <w:rPr>
          <w:rFonts w:ascii="Arial" w:hAnsi="Arial" w:cs="Arial"/>
          <w:b/>
        </w:rPr>
        <w:t>Auswirkungen der 2G-Abschaltung</w:t>
      </w:r>
    </w:p>
    <w:p w14:paraId="0364A00D" w14:textId="1A44482A" w:rsidR="00EB318E" w:rsidRPr="00EB318E" w:rsidRDefault="00EB318E" w:rsidP="008C5A7C">
      <w:pPr>
        <w:suppressAutoHyphens/>
        <w:rPr>
          <w:rFonts w:ascii="Arial" w:hAnsi="Arial" w:cs="Arial"/>
        </w:rPr>
      </w:pPr>
      <w:r w:rsidRPr="00EB318E">
        <w:rPr>
          <w:rFonts w:ascii="Arial" w:hAnsi="Arial" w:cs="Arial"/>
        </w:rPr>
        <w:t xml:space="preserve">Obwohl die Abschaltung schrittweise erfolgt, sollten </w:t>
      </w:r>
      <w:r w:rsidR="00401F88">
        <w:rPr>
          <w:rFonts w:ascii="Arial" w:hAnsi="Arial" w:cs="Arial"/>
        </w:rPr>
        <w:t xml:space="preserve">Installationsbetriebe und </w:t>
      </w:r>
      <w:r w:rsidRPr="00EB318E">
        <w:rPr>
          <w:rFonts w:ascii="Arial" w:hAnsi="Arial" w:cs="Arial"/>
        </w:rPr>
        <w:t xml:space="preserve">Nutzer von Alarmanlagen frühzeitig handeln: </w:t>
      </w:r>
      <w:r w:rsidR="001E22E6">
        <w:rPr>
          <w:rFonts w:ascii="Arial" w:hAnsi="Arial" w:cs="Arial"/>
        </w:rPr>
        <w:t>Denn s</w:t>
      </w:r>
      <w:r w:rsidRPr="00EB318E">
        <w:rPr>
          <w:rFonts w:ascii="Arial" w:hAnsi="Arial" w:cs="Arial"/>
        </w:rPr>
        <w:t xml:space="preserve">chon jetzt werden zunehmend Frequenzen zugunsten von 4G- und 5G-Technologien </w:t>
      </w:r>
      <w:r w:rsidR="00401F88" w:rsidRPr="00401F88">
        <w:rPr>
          <w:rFonts w:ascii="Arial" w:hAnsi="Arial" w:cs="Arial"/>
        </w:rPr>
        <w:t>abgeschaltet und in die neuen Netze migriert</w:t>
      </w:r>
      <w:r w:rsidRPr="00EB318E">
        <w:rPr>
          <w:rFonts w:ascii="Arial" w:hAnsi="Arial" w:cs="Arial"/>
        </w:rPr>
        <w:t>. Diese Frequenzmigration führt zu einer Reduzierung der Netzabdeckung für 2G, was Verbindungsausfälle und eingeschränkte Übertragungsmöglichkeiten nach sich zieht. Die Alarmübertragung aus Einbruch- und Brandmeldeanlagen, die bislang redundante Übertragungswege über GSM oder GPRS nutzen, kann bereits beeinträchtigt sein. Im schlimmsten Fall bleibt eine Alarmierung vollständig aus.</w:t>
      </w:r>
    </w:p>
    <w:p w14:paraId="4E7C90F2" w14:textId="77777777" w:rsidR="00EB318E" w:rsidRDefault="00EB318E" w:rsidP="008C5A7C">
      <w:pPr>
        <w:suppressAutoHyphens/>
        <w:rPr>
          <w:rFonts w:ascii="Arial" w:hAnsi="Arial" w:cs="Arial"/>
        </w:rPr>
      </w:pPr>
    </w:p>
    <w:p w14:paraId="465CC693" w14:textId="2A9FC606" w:rsidR="00EB318E" w:rsidRPr="00EB318E" w:rsidRDefault="00EB318E" w:rsidP="008C5A7C">
      <w:pPr>
        <w:suppressAutoHyphens/>
        <w:rPr>
          <w:rFonts w:ascii="Arial" w:hAnsi="Arial" w:cs="Arial"/>
          <w:b/>
        </w:rPr>
      </w:pPr>
      <w:r w:rsidRPr="00EB318E">
        <w:rPr>
          <w:rFonts w:ascii="Arial" w:hAnsi="Arial" w:cs="Arial"/>
          <w:b/>
        </w:rPr>
        <w:t>Lösungen für die 2G-Migration</w:t>
      </w:r>
    </w:p>
    <w:p w14:paraId="196CE35F" w14:textId="03090D8C" w:rsidR="00EB318E" w:rsidRPr="00EB318E" w:rsidRDefault="00EB318E" w:rsidP="008C5A7C">
      <w:pPr>
        <w:suppressAutoHyphens/>
        <w:rPr>
          <w:rFonts w:ascii="Arial" w:hAnsi="Arial" w:cs="Arial"/>
        </w:rPr>
      </w:pPr>
      <w:r w:rsidRPr="00EB318E">
        <w:rPr>
          <w:rFonts w:ascii="Arial" w:hAnsi="Arial" w:cs="Arial"/>
        </w:rPr>
        <w:t xml:space="preserve">Telenot bietet zuverlässige Lösungen für die Umstellung: Fast alle bestehenden </w:t>
      </w:r>
      <w:proofErr w:type="spellStart"/>
      <w:r w:rsidRPr="00EB318E">
        <w:rPr>
          <w:rFonts w:ascii="Arial" w:hAnsi="Arial" w:cs="Arial"/>
        </w:rPr>
        <w:t>comXline</w:t>
      </w:r>
      <w:proofErr w:type="spellEnd"/>
      <w:r w:rsidRPr="00EB318E">
        <w:rPr>
          <w:rFonts w:ascii="Arial" w:hAnsi="Arial" w:cs="Arial"/>
        </w:rPr>
        <w:t xml:space="preserve">-Übertragungseinrichtungen mit GSM-Modul können </w:t>
      </w:r>
      <w:r w:rsidRPr="00EB318E">
        <w:rPr>
          <w:rFonts w:ascii="Arial" w:hAnsi="Arial" w:cs="Arial"/>
        </w:rPr>
        <w:lastRenderedPageBreak/>
        <w:t>unkompliziert auf den 4G-Standard umgerüstet werden – mithilfe des Kommunikationsmoduls LTE-1 von Telenot. Für die wenigen Geräte</w:t>
      </w:r>
      <w:r w:rsidR="00401F88">
        <w:rPr>
          <w:rFonts w:ascii="Arial" w:hAnsi="Arial" w:cs="Arial"/>
        </w:rPr>
        <w:t xml:space="preserve"> als auch für Fremdgeräte</w:t>
      </w:r>
      <w:r w:rsidRPr="00EB318E">
        <w:rPr>
          <w:rFonts w:ascii="Arial" w:hAnsi="Arial" w:cs="Arial"/>
        </w:rPr>
        <w:t xml:space="preserve">, bei denen eine Nachrüstung nicht möglich ist, stellt der Hersteller ein breites Portfolio zukunftssicherer Übertragungseinrichtungen bereit. So können auch diese Systeme </w:t>
      </w:r>
      <w:r w:rsidR="007E554D">
        <w:rPr>
          <w:rFonts w:ascii="Arial" w:hAnsi="Arial" w:cs="Arial"/>
        </w:rPr>
        <w:t>mühelos</w:t>
      </w:r>
      <w:r w:rsidR="007E554D" w:rsidRPr="00EB318E">
        <w:rPr>
          <w:rFonts w:ascii="Arial" w:hAnsi="Arial" w:cs="Arial"/>
        </w:rPr>
        <w:t xml:space="preserve"> </w:t>
      </w:r>
      <w:r w:rsidRPr="00EB318E">
        <w:rPr>
          <w:rFonts w:ascii="Arial" w:hAnsi="Arial" w:cs="Arial"/>
        </w:rPr>
        <w:t>migriert werden.</w:t>
      </w:r>
    </w:p>
    <w:p w14:paraId="645EAF42" w14:textId="77777777" w:rsidR="008C5A7C" w:rsidRDefault="008C5A7C" w:rsidP="008C5A7C">
      <w:pPr>
        <w:suppressAutoHyphens/>
        <w:rPr>
          <w:rFonts w:ascii="Arial" w:hAnsi="Arial" w:cs="Arial"/>
          <w:b/>
        </w:rPr>
      </w:pPr>
    </w:p>
    <w:p w14:paraId="015B83C4" w14:textId="18648C15" w:rsidR="00EB318E" w:rsidRPr="008C5A7C" w:rsidRDefault="00EB318E" w:rsidP="008C5A7C">
      <w:pPr>
        <w:suppressAutoHyphens/>
        <w:rPr>
          <w:rFonts w:ascii="Arial" w:hAnsi="Arial" w:cs="Arial"/>
          <w:b/>
        </w:rPr>
      </w:pPr>
      <w:r w:rsidRPr="008C5A7C">
        <w:rPr>
          <w:rFonts w:ascii="Arial" w:hAnsi="Arial" w:cs="Arial"/>
          <w:b/>
        </w:rPr>
        <w:t>Gründe für die Abschaltung</w:t>
      </w:r>
    </w:p>
    <w:p w14:paraId="1303088A" w14:textId="77777777" w:rsidR="00EB318E" w:rsidRPr="00EB318E" w:rsidRDefault="00EB318E" w:rsidP="008C5A7C">
      <w:pPr>
        <w:suppressAutoHyphens/>
        <w:rPr>
          <w:rFonts w:ascii="Arial" w:hAnsi="Arial" w:cs="Arial"/>
        </w:rPr>
      </w:pPr>
      <w:r w:rsidRPr="00EB318E">
        <w:rPr>
          <w:rFonts w:ascii="Arial" w:hAnsi="Arial" w:cs="Arial"/>
        </w:rPr>
        <w:t>Wie bereits bei der 3G-Abschaltung dienen die freiwerdenden Frequenzen dem Ausbau von 4G (LTE) und 5G. Diese modernen Standards bieten deutlich höhere Geschwindigkeiten und Kapazitäten – essenziell in einer Zeit, in der datenintensive Anwendungen immer größere Bedeutung gewinnen.</w:t>
      </w:r>
    </w:p>
    <w:p w14:paraId="766B3FE7" w14:textId="77777777" w:rsidR="00EB318E" w:rsidRPr="00EB318E" w:rsidRDefault="00EB318E" w:rsidP="008C5A7C">
      <w:pPr>
        <w:suppressAutoHyphens/>
        <w:rPr>
          <w:rFonts w:ascii="Arial" w:hAnsi="Arial" w:cs="Arial"/>
        </w:rPr>
      </w:pPr>
    </w:p>
    <w:p w14:paraId="0B7F7818" w14:textId="77777777" w:rsidR="00EB318E" w:rsidRPr="00EB318E" w:rsidRDefault="00EB318E" w:rsidP="008C5A7C">
      <w:pPr>
        <w:suppressAutoHyphens/>
        <w:rPr>
          <w:rFonts w:ascii="Arial" w:hAnsi="Arial" w:cs="Arial"/>
        </w:rPr>
      </w:pPr>
      <w:r w:rsidRPr="00EB318E">
        <w:rPr>
          <w:rFonts w:ascii="Arial" w:hAnsi="Arial" w:cs="Arial"/>
        </w:rPr>
        <w:t>Der Umstieg auf die 4G-Technologie bringt sowohl für Netzbetreiber als auch für Endkunden zahlreiche Vorteile: Neben einer schnelleren Datenübertragung profitieren Anwender von hervorragender Sprachqualität und weiteren Optimierungen, die durch das freiwerdende Frequenzspektrum im 900-MHz-Band möglich werden.</w:t>
      </w:r>
    </w:p>
    <w:p w14:paraId="3D1A0788" w14:textId="77777777" w:rsidR="00EB318E" w:rsidRDefault="00EB318E" w:rsidP="008C5A7C">
      <w:pPr>
        <w:suppressAutoHyphens/>
        <w:rPr>
          <w:rFonts w:ascii="Arial" w:hAnsi="Arial" w:cs="Arial"/>
        </w:rPr>
      </w:pPr>
    </w:p>
    <w:p w14:paraId="342EF3A1" w14:textId="11FD4A5A" w:rsidR="00EB318E" w:rsidRPr="00EB318E" w:rsidRDefault="00EB318E" w:rsidP="008C5A7C">
      <w:pPr>
        <w:suppressAutoHyphens/>
        <w:rPr>
          <w:rFonts w:ascii="Arial" w:hAnsi="Arial" w:cs="Arial"/>
          <w:b/>
        </w:rPr>
      </w:pPr>
      <w:r w:rsidRPr="00EB318E">
        <w:rPr>
          <w:rFonts w:ascii="Arial" w:hAnsi="Arial" w:cs="Arial"/>
          <w:b/>
        </w:rPr>
        <w:t>Weitere Informationen</w:t>
      </w:r>
    </w:p>
    <w:p w14:paraId="3EE7D7B0" w14:textId="7C8ED5FE" w:rsidR="00EB318E" w:rsidRPr="00CD37BB" w:rsidRDefault="00EB318E" w:rsidP="008C5A7C">
      <w:pPr>
        <w:suppressAutoHyphens/>
        <w:rPr>
          <w:rFonts w:ascii="Arial" w:hAnsi="Arial" w:cs="Arial"/>
          <w:b/>
          <w:bCs/>
        </w:rPr>
      </w:pPr>
      <w:r w:rsidRPr="00CD37BB">
        <w:rPr>
          <w:rFonts w:ascii="Arial" w:hAnsi="Arial" w:cs="Arial"/>
          <w:b/>
          <w:bCs/>
        </w:rPr>
        <w:t xml:space="preserve">Alle wichtigen Details zur 2G-Migration hat Telenot in einer ausführlichen Broschüre zusammengefasst, die auf der </w:t>
      </w:r>
      <w:r w:rsidR="00CD37BB">
        <w:rPr>
          <w:rFonts w:ascii="Arial" w:hAnsi="Arial" w:cs="Arial"/>
          <w:b/>
          <w:bCs/>
        </w:rPr>
        <w:t>Internetseite</w:t>
      </w:r>
      <w:r w:rsidRPr="00CD37BB">
        <w:rPr>
          <w:rFonts w:ascii="Arial" w:hAnsi="Arial" w:cs="Arial"/>
          <w:b/>
          <w:bCs/>
        </w:rPr>
        <w:t xml:space="preserve"> des Herstellers heruntergeladen werden kann. </w:t>
      </w:r>
      <w:r w:rsidR="00401F88">
        <w:rPr>
          <w:rFonts w:ascii="Arial" w:hAnsi="Arial" w:cs="Arial"/>
          <w:b/>
          <w:bCs/>
        </w:rPr>
        <w:t xml:space="preserve"> Die Broschüre steht hier zum Download bereit: </w:t>
      </w:r>
      <w:r w:rsidR="00401F88" w:rsidRPr="00401F88">
        <w:rPr>
          <w:rFonts w:ascii="Arial" w:hAnsi="Arial" w:cs="Arial"/>
          <w:b/>
          <w:bCs/>
        </w:rPr>
        <w:t>https://t1p.de/2rktb</w:t>
      </w:r>
    </w:p>
    <w:p w14:paraId="2E80A7FA" w14:textId="77777777" w:rsidR="00501D06" w:rsidRDefault="00501D06" w:rsidP="008C5A7C">
      <w:pPr>
        <w:suppressAutoHyphens/>
        <w:rPr>
          <w:rFonts w:ascii="Arial" w:hAnsi="Arial" w:cs="Arial"/>
        </w:rPr>
      </w:pPr>
    </w:p>
    <w:p w14:paraId="17653AB4" w14:textId="77777777" w:rsidR="004E28EF" w:rsidRPr="00530B21" w:rsidRDefault="004E28EF" w:rsidP="008C5A7C">
      <w:pPr>
        <w:suppressAutoHyphens/>
        <w:rPr>
          <w:rFonts w:ascii="Arial" w:hAnsi="Arial" w:cs="Arial"/>
        </w:rPr>
      </w:pPr>
    </w:p>
    <w:p w14:paraId="06524455" w14:textId="77777777" w:rsidR="00D6460E" w:rsidRDefault="00D6460E" w:rsidP="008C5A7C">
      <w:pPr>
        <w:suppressAutoHyphens/>
        <w:rPr>
          <w:rFonts w:ascii="Arial" w:hAnsi="Arial" w:cs="Arial"/>
          <w:i/>
          <w:iCs/>
        </w:rPr>
      </w:pPr>
      <w:r>
        <w:rPr>
          <w:rFonts w:ascii="Arial" w:hAnsi="Arial" w:cs="Arial"/>
          <w:i/>
          <w:iCs/>
        </w:rPr>
        <w:t>Über Telenot:</w:t>
      </w:r>
    </w:p>
    <w:p w14:paraId="1D141333" w14:textId="07417D2B" w:rsidR="00D6460E" w:rsidRDefault="00D6460E" w:rsidP="008C5A7C">
      <w:pPr>
        <w:suppressAutoHyphens/>
        <w:rPr>
          <w:rFonts w:ascii="Arial" w:hAnsi="Arial" w:cs="Arial"/>
          <w:bCs/>
        </w:rPr>
      </w:pPr>
      <w:r>
        <w:rPr>
          <w:rFonts w:ascii="Arial" w:hAnsi="Arial" w:cs="Arial"/>
          <w:i/>
          <w:iCs/>
          <w:color w:val="000000"/>
        </w:rPr>
        <w:t>T</w:t>
      </w:r>
      <w:r w:rsidRPr="00CA2FAC">
        <w:rPr>
          <w:rFonts w:ascii="Arial" w:hAnsi="Arial" w:cs="Arial"/>
          <w:i/>
          <w:iCs/>
          <w:color w:val="000000"/>
        </w:rPr>
        <w:t xml:space="preserve">elenot ist ein führender deutscher Hersteller von elektronischer Sicherheitstechnik und Alarmanlagen mit Hauptsitz in Aalen, Süddeutschland. Die Produkte verfügen über Einzel- und Systemanerkennung der VdS Schadenverhütung, des </w:t>
      </w:r>
      <w:proofErr w:type="gramStart"/>
      <w:r w:rsidRPr="00CA2FAC">
        <w:rPr>
          <w:rFonts w:ascii="Arial" w:hAnsi="Arial" w:cs="Arial"/>
          <w:i/>
          <w:iCs/>
          <w:color w:val="000000"/>
        </w:rPr>
        <w:t>VSÖ Verbands</w:t>
      </w:r>
      <w:proofErr w:type="gramEnd"/>
      <w:r w:rsidRPr="00CA2FAC">
        <w:rPr>
          <w:rFonts w:ascii="Arial" w:hAnsi="Arial" w:cs="Arial"/>
          <w:i/>
          <w:iCs/>
          <w:color w:val="000000"/>
        </w:rPr>
        <w:t xml:space="preserve"> der Sicherheitsunternehmen Österreich und des SES Verbandes Schweizer Errichter von Sicherheitsanlagen. VdS, VSÖ und SES sind offizielle Organe für die Prüfung und Anerkennung von Sicherheitsprodukten. Damit garantiert Telenot verbriefte Sicherheit in Deutschland, Österreich, der Schweiz und zahlreichen weiteren europäischen Ländern. </w:t>
      </w:r>
      <w:hyperlink r:id="rId8" w:history="1">
        <w:r w:rsidRPr="007353DD">
          <w:rPr>
            <w:rStyle w:val="Hyperlink"/>
            <w:rFonts w:ascii="Arial" w:hAnsi="Arial" w:cs="Arial"/>
            <w:bCs/>
          </w:rPr>
          <w:t>www.telenot.com</w:t>
        </w:r>
      </w:hyperlink>
      <w:r>
        <w:rPr>
          <w:rFonts w:ascii="Arial" w:hAnsi="Arial" w:cs="Arial"/>
          <w:bCs/>
        </w:rPr>
        <w:t xml:space="preserve"> </w:t>
      </w:r>
    </w:p>
    <w:p w14:paraId="26314659" w14:textId="77777777" w:rsidR="00D6460E" w:rsidRDefault="00D6460E" w:rsidP="008C5A7C">
      <w:pPr>
        <w:suppressAutoHyphens/>
        <w:rPr>
          <w:rFonts w:ascii="Arial" w:hAnsi="Arial" w:cs="Arial"/>
          <w:b/>
          <w:bCs/>
          <w:color w:val="FF0000"/>
          <w:lang w:val="x-none" w:eastAsia="x-none"/>
        </w:rPr>
      </w:pPr>
    </w:p>
    <w:p w14:paraId="69619DE0" w14:textId="77777777" w:rsidR="00D6460E" w:rsidRPr="00EB34A0" w:rsidRDefault="00D6460E" w:rsidP="008C5A7C">
      <w:pPr>
        <w:suppressAutoHyphens/>
        <w:rPr>
          <w:rFonts w:ascii="Times New Roman" w:hAnsi="Times New Roman"/>
          <w:sz w:val="24"/>
          <w:highlight w:val="yellow"/>
        </w:rPr>
      </w:pPr>
    </w:p>
    <w:p w14:paraId="0A337FDD" w14:textId="77777777" w:rsidR="008C5A7C" w:rsidRDefault="008C5A7C" w:rsidP="008C5A7C">
      <w:pPr>
        <w:suppressAutoHyphens/>
        <w:rPr>
          <w:rFonts w:ascii="Arial" w:hAnsi="Arial" w:cs="Arial"/>
          <w:b/>
          <w:bCs/>
          <w:highlight w:val="yellow"/>
        </w:rPr>
      </w:pPr>
    </w:p>
    <w:p w14:paraId="11B01B60" w14:textId="77777777" w:rsidR="008C5A7C" w:rsidRDefault="008C5A7C" w:rsidP="008C5A7C">
      <w:pPr>
        <w:suppressAutoHyphens/>
        <w:rPr>
          <w:rFonts w:ascii="Arial" w:hAnsi="Arial" w:cs="Arial"/>
          <w:b/>
          <w:bCs/>
          <w:highlight w:val="yellow"/>
        </w:rPr>
      </w:pPr>
    </w:p>
    <w:p w14:paraId="7273FE4B" w14:textId="77777777" w:rsidR="00CD37BB" w:rsidRDefault="00CD37BB" w:rsidP="00164CE2">
      <w:pPr>
        <w:overflowPunct/>
        <w:autoSpaceDE/>
        <w:autoSpaceDN/>
        <w:adjustRightInd/>
        <w:spacing w:line="240" w:lineRule="auto"/>
        <w:textAlignment w:val="auto"/>
        <w:rPr>
          <w:rFonts w:ascii="Arial" w:hAnsi="Arial" w:cs="Arial"/>
          <w:b/>
          <w:bCs/>
        </w:rPr>
      </w:pPr>
    </w:p>
    <w:p w14:paraId="0A624942" w14:textId="77777777" w:rsidR="00CD37BB" w:rsidRDefault="00CD37BB" w:rsidP="00164CE2">
      <w:pPr>
        <w:overflowPunct/>
        <w:autoSpaceDE/>
        <w:autoSpaceDN/>
        <w:adjustRightInd/>
        <w:spacing w:line="240" w:lineRule="auto"/>
        <w:textAlignment w:val="auto"/>
        <w:rPr>
          <w:rFonts w:ascii="Arial" w:hAnsi="Arial" w:cs="Arial"/>
          <w:b/>
          <w:bCs/>
        </w:rPr>
      </w:pPr>
    </w:p>
    <w:p w14:paraId="78F31526" w14:textId="77777777" w:rsidR="00CD37BB" w:rsidRDefault="00CD37BB" w:rsidP="00164CE2">
      <w:pPr>
        <w:overflowPunct/>
        <w:autoSpaceDE/>
        <w:autoSpaceDN/>
        <w:adjustRightInd/>
        <w:spacing w:line="240" w:lineRule="auto"/>
        <w:textAlignment w:val="auto"/>
        <w:rPr>
          <w:rFonts w:ascii="Arial" w:hAnsi="Arial" w:cs="Arial"/>
          <w:b/>
          <w:bCs/>
        </w:rPr>
      </w:pPr>
    </w:p>
    <w:p w14:paraId="4DFC985B" w14:textId="77777777" w:rsidR="00CD37BB" w:rsidRDefault="00CD37BB" w:rsidP="00164CE2">
      <w:pPr>
        <w:overflowPunct/>
        <w:autoSpaceDE/>
        <w:autoSpaceDN/>
        <w:adjustRightInd/>
        <w:spacing w:line="240" w:lineRule="auto"/>
        <w:textAlignment w:val="auto"/>
        <w:rPr>
          <w:rFonts w:ascii="Arial" w:hAnsi="Arial" w:cs="Arial"/>
          <w:b/>
          <w:bCs/>
        </w:rPr>
      </w:pPr>
    </w:p>
    <w:p w14:paraId="00EA16EE" w14:textId="77777777" w:rsidR="00CD37BB" w:rsidRDefault="00CD37BB" w:rsidP="00164CE2">
      <w:pPr>
        <w:overflowPunct/>
        <w:autoSpaceDE/>
        <w:autoSpaceDN/>
        <w:adjustRightInd/>
        <w:spacing w:line="240" w:lineRule="auto"/>
        <w:textAlignment w:val="auto"/>
        <w:rPr>
          <w:rFonts w:ascii="Arial" w:hAnsi="Arial" w:cs="Arial"/>
          <w:b/>
          <w:bCs/>
        </w:rPr>
      </w:pPr>
    </w:p>
    <w:p w14:paraId="1DDED4C2" w14:textId="77777777" w:rsidR="00CD37BB" w:rsidRDefault="00CD37BB" w:rsidP="00164CE2">
      <w:pPr>
        <w:overflowPunct/>
        <w:autoSpaceDE/>
        <w:autoSpaceDN/>
        <w:adjustRightInd/>
        <w:spacing w:line="240" w:lineRule="auto"/>
        <w:textAlignment w:val="auto"/>
        <w:rPr>
          <w:rFonts w:ascii="Arial" w:hAnsi="Arial" w:cs="Arial"/>
          <w:b/>
          <w:bCs/>
        </w:rPr>
      </w:pPr>
    </w:p>
    <w:p w14:paraId="5329484D" w14:textId="77777777" w:rsidR="00CD37BB" w:rsidRDefault="00CD37BB" w:rsidP="00164CE2">
      <w:pPr>
        <w:overflowPunct/>
        <w:autoSpaceDE/>
        <w:autoSpaceDN/>
        <w:adjustRightInd/>
        <w:spacing w:line="240" w:lineRule="auto"/>
        <w:textAlignment w:val="auto"/>
        <w:rPr>
          <w:rFonts w:ascii="Arial" w:hAnsi="Arial" w:cs="Arial"/>
          <w:b/>
          <w:bCs/>
        </w:rPr>
      </w:pPr>
    </w:p>
    <w:p w14:paraId="41E2743F" w14:textId="77777777" w:rsidR="00CD37BB" w:rsidRDefault="00CD37BB" w:rsidP="00CD37BB">
      <w:pPr>
        <w:suppressAutoHyphens/>
        <w:overflowPunct/>
        <w:autoSpaceDE/>
        <w:autoSpaceDN/>
        <w:adjustRightInd/>
        <w:textAlignment w:val="auto"/>
        <w:rPr>
          <w:rFonts w:ascii="Arial" w:hAnsi="Arial" w:cs="Arial"/>
          <w:b/>
          <w:bCs/>
          <w:color w:val="FF0000"/>
          <w:highlight w:val="yellow"/>
          <w:lang w:eastAsia="x-none"/>
        </w:rPr>
      </w:pPr>
    </w:p>
    <w:p w14:paraId="2792764C" w14:textId="77777777" w:rsidR="00CD37BB" w:rsidRDefault="00CD37BB" w:rsidP="00CD37BB">
      <w:pPr>
        <w:suppressAutoHyphens/>
        <w:overflowPunct/>
        <w:autoSpaceDE/>
        <w:autoSpaceDN/>
        <w:adjustRightInd/>
        <w:textAlignment w:val="auto"/>
        <w:rPr>
          <w:rFonts w:ascii="Arial" w:hAnsi="Arial" w:cs="Arial"/>
          <w:b/>
          <w:bCs/>
          <w:color w:val="FF0000"/>
          <w:highlight w:val="yellow"/>
          <w:lang w:eastAsia="x-none"/>
        </w:rPr>
      </w:pPr>
      <w:r>
        <w:rPr>
          <w:rFonts w:ascii="Arial" w:hAnsi="Arial" w:cs="Arial"/>
          <w:b/>
          <w:bCs/>
          <w:noProof/>
          <w:color w:val="FF0000"/>
          <w:lang w:eastAsia="x-none"/>
        </w:rPr>
        <w:drawing>
          <wp:inline distT="0" distB="0" distL="0" distR="0" wp14:anchorId="4AF459B6" wp14:editId="2C02D097">
            <wp:extent cx="1118930" cy="1671736"/>
            <wp:effectExtent l="0" t="0" r="0" b="5080"/>
            <wp:docPr id="195440173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401735" name="Grafik 2"/>
                    <pic:cNvPicPr/>
                  </pic:nvPicPr>
                  <pic:blipFill>
                    <a:blip r:embed="rId9"/>
                    <a:stretch>
                      <a:fillRect/>
                    </a:stretch>
                  </pic:blipFill>
                  <pic:spPr>
                    <a:xfrm>
                      <a:off x="0" y="0"/>
                      <a:ext cx="1118930" cy="1671736"/>
                    </a:xfrm>
                    <a:prstGeom prst="rect">
                      <a:avLst/>
                    </a:prstGeom>
                  </pic:spPr>
                </pic:pic>
              </a:graphicData>
            </a:graphic>
          </wp:inline>
        </w:drawing>
      </w:r>
    </w:p>
    <w:p w14:paraId="441A95DF" w14:textId="7FE000FA" w:rsidR="00CD37BB" w:rsidRPr="00CA2FAC" w:rsidRDefault="00CD37BB" w:rsidP="00CD37BB">
      <w:pPr>
        <w:suppressAutoHyphens/>
        <w:rPr>
          <w:rFonts w:ascii="Arial" w:hAnsi="Arial" w:cs="Arial"/>
          <w:b/>
          <w:color w:val="000000" w:themeColor="text1"/>
        </w:rPr>
      </w:pPr>
      <w:r w:rsidRPr="008C5A7C">
        <w:rPr>
          <w:rFonts w:ascii="Arial" w:hAnsi="Arial" w:cs="Arial"/>
          <w:b/>
          <w:bCs/>
        </w:rPr>
        <w:t xml:space="preserve">Bildtext: </w:t>
      </w:r>
      <w:r>
        <w:rPr>
          <w:rFonts w:ascii="Arial" w:hAnsi="Arial" w:cs="Arial"/>
          <w:bCs/>
        </w:rPr>
        <w:t>In der 2G-Migrationsbroschüre</w:t>
      </w:r>
      <w:r w:rsidRPr="008C5A7C">
        <w:rPr>
          <w:rFonts w:ascii="Arial" w:hAnsi="Arial" w:cs="Arial"/>
          <w:bCs/>
        </w:rPr>
        <w:t xml:space="preserve"> </w:t>
      </w:r>
      <w:r>
        <w:rPr>
          <w:rFonts w:ascii="Arial" w:hAnsi="Arial" w:cs="Arial"/>
          <w:bCs/>
        </w:rPr>
        <w:t xml:space="preserve">finden sich alle wichtigen technischen Informationen zur Abschaltung der 2G-Mobilfunknetze. </w:t>
      </w:r>
      <w:r w:rsidRPr="008C5A7C">
        <w:rPr>
          <w:rFonts w:ascii="Arial" w:hAnsi="Arial" w:cs="Arial"/>
          <w:b/>
          <w:color w:val="000000" w:themeColor="text1"/>
        </w:rPr>
        <w:t>Bildquelle: Telenot</w:t>
      </w:r>
    </w:p>
    <w:p w14:paraId="741F7D93" w14:textId="77777777" w:rsidR="00CD37BB" w:rsidRDefault="00CD37BB" w:rsidP="00164CE2">
      <w:pPr>
        <w:overflowPunct/>
        <w:autoSpaceDE/>
        <w:autoSpaceDN/>
        <w:adjustRightInd/>
        <w:spacing w:line="240" w:lineRule="auto"/>
        <w:textAlignment w:val="auto"/>
        <w:rPr>
          <w:rFonts w:ascii="Arial" w:hAnsi="Arial" w:cs="Arial"/>
          <w:b/>
          <w:bCs/>
        </w:rPr>
      </w:pPr>
    </w:p>
    <w:p w14:paraId="5734CFB6" w14:textId="77777777" w:rsidR="00CD37BB" w:rsidRDefault="00CD37BB" w:rsidP="00164CE2">
      <w:pPr>
        <w:overflowPunct/>
        <w:autoSpaceDE/>
        <w:autoSpaceDN/>
        <w:adjustRightInd/>
        <w:spacing w:line="240" w:lineRule="auto"/>
        <w:textAlignment w:val="auto"/>
        <w:rPr>
          <w:rFonts w:ascii="Arial" w:hAnsi="Arial" w:cs="Arial"/>
          <w:b/>
          <w:bCs/>
        </w:rPr>
      </w:pPr>
    </w:p>
    <w:p w14:paraId="56883191" w14:textId="77777777" w:rsidR="00CD37BB" w:rsidRDefault="00CD37BB" w:rsidP="00164CE2">
      <w:pPr>
        <w:overflowPunct/>
        <w:autoSpaceDE/>
        <w:autoSpaceDN/>
        <w:adjustRightInd/>
        <w:spacing w:line="240" w:lineRule="auto"/>
        <w:textAlignment w:val="auto"/>
        <w:rPr>
          <w:rFonts w:ascii="Arial" w:hAnsi="Arial" w:cs="Arial"/>
          <w:b/>
          <w:bCs/>
        </w:rPr>
      </w:pPr>
    </w:p>
    <w:p w14:paraId="2EB9A622" w14:textId="66EF6E2B" w:rsidR="00164CE2" w:rsidRDefault="00164CE2" w:rsidP="00164CE2">
      <w:pPr>
        <w:overflowPunct/>
        <w:autoSpaceDE/>
        <w:autoSpaceDN/>
        <w:adjustRightInd/>
        <w:spacing w:line="240" w:lineRule="auto"/>
        <w:textAlignment w:val="auto"/>
        <w:rPr>
          <w:rFonts w:ascii="Arial" w:hAnsi="Arial" w:cs="Arial"/>
          <w:b/>
          <w:bCs/>
          <w:highlight w:val="yellow"/>
        </w:rPr>
      </w:pPr>
      <w:r>
        <w:rPr>
          <w:rFonts w:ascii="Arial" w:hAnsi="Arial" w:cs="Arial"/>
          <w:b/>
          <w:bCs/>
          <w:noProof/>
        </w:rPr>
        <w:drawing>
          <wp:inline distT="0" distB="0" distL="0" distR="0" wp14:anchorId="23E6C7AD" wp14:editId="07C935B1">
            <wp:extent cx="1434470" cy="1260083"/>
            <wp:effectExtent l="0" t="0" r="635" b="0"/>
            <wp:docPr id="27190803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908035" name="Grafik 3"/>
                    <pic:cNvPicPr/>
                  </pic:nvPicPr>
                  <pic:blipFill>
                    <a:blip r:embed="rId10"/>
                    <a:stretch>
                      <a:fillRect/>
                    </a:stretch>
                  </pic:blipFill>
                  <pic:spPr>
                    <a:xfrm>
                      <a:off x="0" y="0"/>
                      <a:ext cx="1434470" cy="1260083"/>
                    </a:xfrm>
                    <a:prstGeom prst="rect">
                      <a:avLst/>
                    </a:prstGeom>
                  </pic:spPr>
                </pic:pic>
              </a:graphicData>
            </a:graphic>
          </wp:inline>
        </w:drawing>
      </w:r>
    </w:p>
    <w:p w14:paraId="2BB23726" w14:textId="082706A9" w:rsidR="00CD37BB" w:rsidRDefault="00D6460E" w:rsidP="008C5A7C">
      <w:pPr>
        <w:suppressAutoHyphens/>
        <w:rPr>
          <w:rFonts w:ascii="Arial" w:hAnsi="Arial" w:cs="Arial"/>
          <w:bCs/>
        </w:rPr>
      </w:pPr>
      <w:r w:rsidRPr="008C5A7C">
        <w:rPr>
          <w:rFonts w:ascii="Arial" w:hAnsi="Arial" w:cs="Arial"/>
          <w:b/>
          <w:bCs/>
        </w:rPr>
        <w:t xml:space="preserve">Bildtext: </w:t>
      </w:r>
      <w:r w:rsidR="001E22E6" w:rsidRPr="006A47C8">
        <w:rPr>
          <w:rFonts w:ascii="Arial" w:hAnsi="Arial" w:cs="Arial"/>
        </w:rPr>
        <w:t xml:space="preserve">Telenot </w:t>
      </w:r>
      <w:r w:rsidR="007E554D" w:rsidRPr="006A47C8">
        <w:rPr>
          <w:rFonts w:ascii="Arial" w:hAnsi="Arial" w:cs="Arial"/>
        </w:rPr>
        <w:t>bietet für die 2G-Migration</w:t>
      </w:r>
      <w:r w:rsidR="007E554D">
        <w:rPr>
          <w:rFonts w:ascii="Arial" w:hAnsi="Arial" w:cs="Arial"/>
          <w:b/>
          <w:bCs/>
        </w:rPr>
        <w:t xml:space="preserve"> </w:t>
      </w:r>
      <w:r w:rsidR="007E554D" w:rsidRPr="007E554D">
        <w:rPr>
          <w:rFonts w:ascii="Arial" w:hAnsi="Arial" w:cs="Arial"/>
          <w:bCs/>
        </w:rPr>
        <w:t>zukunftsfähige Übertragungseinrichtungen und damit zukunftsfähige Lösungen</w:t>
      </w:r>
      <w:r w:rsidR="007E554D">
        <w:rPr>
          <w:rFonts w:ascii="Arial" w:hAnsi="Arial" w:cs="Arial"/>
          <w:bCs/>
        </w:rPr>
        <w:t xml:space="preserve"> zum Nachrüsten oder Austausch.</w:t>
      </w:r>
    </w:p>
    <w:p w14:paraId="4B65F27E" w14:textId="427F60D2" w:rsidR="00D6460E" w:rsidRPr="00CA2FAC" w:rsidRDefault="00D6460E" w:rsidP="008C5A7C">
      <w:pPr>
        <w:suppressAutoHyphens/>
        <w:rPr>
          <w:rFonts w:ascii="Arial" w:hAnsi="Arial" w:cs="Arial"/>
          <w:b/>
          <w:color w:val="000000" w:themeColor="text1"/>
        </w:rPr>
      </w:pPr>
      <w:r w:rsidRPr="008C5A7C">
        <w:rPr>
          <w:rFonts w:ascii="Arial" w:hAnsi="Arial" w:cs="Arial"/>
          <w:b/>
          <w:color w:val="000000" w:themeColor="text1"/>
        </w:rPr>
        <w:t>Bildquelle: Telenot</w:t>
      </w:r>
    </w:p>
    <w:p w14:paraId="714F2F4B" w14:textId="77777777" w:rsidR="008C5A7C" w:rsidRPr="00CA2FAC" w:rsidRDefault="008C5A7C" w:rsidP="008C5A7C">
      <w:pPr>
        <w:suppressAutoHyphens/>
        <w:overflowPunct/>
        <w:autoSpaceDE/>
        <w:autoSpaceDN/>
        <w:adjustRightInd/>
        <w:textAlignment w:val="auto"/>
        <w:rPr>
          <w:rFonts w:ascii="Arial" w:hAnsi="Arial" w:cs="Arial"/>
          <w:b/>
          <w:bCs/>
          <w:color w:val="FF0000"/>
          <w:highlight w:val="yellow"/>
          <w:lang w:eastAsia="x-none"/>
        </w:rPr>
      </w:pPr>
    </w:p>
    <w:p w14:paraId="6BD66242" w14:textId="77777777" w:rsidR="00D6460E" w:rsidRDefault="00D6460E" w:rsidP="008C5A7C">
      <w:pPr>
        <w:suppressAutoHyphens/>
        <w:rPr>
          <w:rFonts w:ascii="Arial" w:hAnsi="Arial" w:cs="Arial"/>
        </w:rPr>
      </w:pPr>
    </w:p>
    <w:p w14:paraId="1A847A5C"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p>
    <w:p w14:paraId="6756E2FA"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w:t>
      </w:r>
      <w:r w:rsidRPr="00B6205D">
        <w:rPr>
          <w:rFonts w:ascii="Arial" w:hAnsi="Arial" w:cs="Arial"/>
          <w:b/>
          <w:bCs/>
          <w:color w:val="FF0000"/>
          <w:lang w:val="x-none" w:eastAsia="x-none"/>
        </w:rPr>
        <w:lastRenderedPageBreak/>
        <w:t>(Deutschland) geschützt. Zuwiderhandlungen werden zur Anzeige gebracht.</w:t>
      </w:r>
    </w:p>
    <w:sectPr w:rsidR="00D6460E" w:rsidSect="0098768F">
      <w:headerReference w:type="default" r:id="rId11"/>
      <w:footerReference w:type="default" r:id="rId12"/>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0147B4" w14:textId="77777777" w:rsidR="00D57294" w:rsidRDefault="00D57294">
      <w:r>
        <w:separator/>
      </w:r>
    </w:p>
  </w:endnote>
  <w:endnote w:type="continuationSeparator" w:id="0">
    <w:p w14:paraId="428C7E17" w14:textId="77777777" w:rsidR="00D57294" w:rsidRDefault="00D572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libri"/>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2EFF" w:usb1="C000247B" w:usb2="00000009" w:usb3="00000000" w:csb0="000001F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DBB0B1" w14:textId="77777777" w:rsidR="00D57294" w:rsidRDefault="00D57294">
      <w:r>
        <w:separator/>
      </w:r>
    </w:p>
  </w:footnote>
  <w:footnote w:type="continuationSeparator" w:id="0">
    <w:p w14:paraId="7190D2D5" w14:textId="77777777" w:rsidR="00D57294" w:rsidRDefault="00D572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9435947">
    <w:abstractNumId w:val="6"/>
  </w:num>
  <w:num w:numId="2" w16cid:durableId="397628044">
    <w:abstractNumId w:val="2"/>
  </w:num>
  <w:num w:numId="3" w16cid:durableId="1165776756">
    <w:abstractNumId w:val="5"/>
  </w:num>
  <w:num w:numId="4" w16cid:durableId="211187638">
    <w:abstractNumId w:val="10"/>
  </w:num>
  <w:num w:numId="5" w16cid:durableId="765855120">
    <w:abstractNumId w:val="4"/>
  </w:num>
  <w:num w:numId="6" w16cid:durableId="613488030">
    <w:abstractNumId w:val="8"/>
  </w:num>
  <w:num w:numId="7" w16cid:durableId="477305817">
    <w:abstractNumId w:val="7"/>
  </w:num>
  <w:num w:numId="8" w16cid:durableId="949043332">
    <w:abstractNumId w:val="9"/>
  </w:num>
  <w:num w:numId="9" w16cid:durableId="1097169985">
    <w:abstractNumId w:val="1"/>
  </w:num>
  <w:num w:numId="10" w16cid:durableId="1715882601">
    <w:abstractNumId w:val="0"/>
  </w:num>
  <w:num w:numId="11" w16cid:durableId="18702973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21"/>
  <w:embedSystemFonts/>
  <w:proofState w:spelling="clean" w:grammar="clean"/>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11A25"/>
    <w:rsid w:val="00013B13"/>
    <w:rsid w:val="0001419B"/>
    <w:rsid w:val="00017193"/>
    <w:rsid w:val="00017956"/>
    <w:rsid w:val="00035D5B"/>
    <w:rsid w:val="0003662D"/>
    <w:rsid w:val="00045171"/>
    <w:rsid w:val="0004695F"/>
    <w:rsid w:val="000506DE"/>
    <w:rsid w:val="0006222A"/>
    <w:rsid w:val="00062537"/>
    <w:rsid w:val="00064791"/>
    <w:rsid w:val="00066673"/>
    <w:rsid w:val="000730D1"/>
    <w:rsid w:val="00086640"/>
    <w:rsid w:val="00091C4B"/>
    <w:rsid w:val="00096065"/>
    <w:rsid w:val="000A0733"/>
    <w:rsid w:val="000A2FAD"/>
    <w:rsid w:val="000B6AA4"/>
    <w:rsid w:val="000C3669"/>
    <w:rsid w:val="000C441E"/>
    <w:rsid w:val="000D1D99"/>
    <w:rsid w:val="000E5043"/>
    <w:rsid w:val="000E75B6"/>
    <w:rsid w:val="000F2118"/>
    <w:rsid w:val="001008D4"/>
    <w:rsid w:val="00101B26"/>
    <w:rsid w:val="00116EFE"/>
    <w:rsid w:val="001278EC"/>
    <w:rsid w:val="0013057C"/>
    <w:rsid w:val="00133469"/>
    <w:rsid w:val="00141911"/>
    <w:rsid w:val="00164CE2"/>
    <w:rsid w:val="001667B3"/>
    <w:rsid w:val="00195FB5"/>
    <w:rsid w:val="001A48FC"/>
    <w:rsid w:val="001A79E7"/>
    <w:rsid w:val="001B0BEB"/>
    <w:rsid w:val="001C4BC1"/>
    <w:rsid w:val="001C7CC7"/>
    <w:rsid w:val="001E1D34"/>
    <w:rsid w:val="001E22E6"/>
    <w:rsid w:val="001E44FE"/>
    <w:rsid w:val="001E62B4"/>
    <w:rsid w:val="001E704B"/>
    <w:rsid w:val="001F6E77"/>
    <w:rsid w:val="001F7FFA"/>
    <w:rsid w:val="00204ED8"/>
    <w:rsid w:val="00205FF0"/>
    <w:rsid w:val="00221916"/>
    <w:rsid w:val="002230C7"/>
    <w:rsid w:val="00223799"/>
    <w:rsid w:val="0023643E"/>
    <w:rsid w:val="00237473"/>
    <w:rsid w:val="00242E7B"/>
    <w:rsid w:val="00243D90"/>
    <w:rsid w:val="002454D3"/>
    <w:rsid w:val="002465B7"/>
    <w:rsid w:val="002554B7"/>
    <w:rsid w:val="002562EC"/>
    <w:rsid w:val="00265974"/>
    <w:rsid w:val="00271AAB"/>
    <w:rsid w:val="002735A0"/>
    <w:rsid w:val="00290A9B"/>
    <w:rsid w:val="0029319E"/>
    <w:rsid w:val="00295980"/>
    <w:rsid w:val="002A45FE"/>
    <w:rsid w:val="002A7B90"/>
    <w:rsid w:val="002B4E98"/>
    <w:rsid w:val="002C05B2"/>
    <w:rsid w:val="002C5BF5"/>
    <w:rsid w:val="002C626A"/>
    <w:rsid w:val="002C67FB"/>
    <w:rsid w:val="002D4C17"/>
    <w:rsid w:val="002E16ED"/>
    <w:rsid w:val="002E2784"/>
    <w:rsid w:val="002E5D72"/>
    <w:rsid w:val="002E7A28"/>
    <w:rsid w:val="002F7B02"/>
    <w:rsid w:val="003027B4"/>
    <w:rsid w:val="0030348A"/>
    <w:rsid w:val="003101BC"/>
    <w:rsid w:val="003106F2"/>
    <w:rsid w:val="00312176"/>
    <w:rsid w:val="00312E04"/>
    <w:rsid w:val="00326228"/>
    <w:rsid w:val="00330A0B"/>
    <w:rsid w:val="0033220D"/>
    <w:rsid w:val="00334073"/>
    <w:rsid w:val="003350DE"/>
    <w:rsid w:val="00335ECF"/>
    <w:rsid w:val="00336182"/>
    <w:rsid w:val="00342D9F"/>
    <w:rsid w:val="00344C55"/>
    <w:rsid w:val="00351F34"/>
    <w:rsid w:val="00354432"/>
    <w:rsid w:val="0035706D"/>
    <w:rsid w:val="00360402"/>
    <w:rsid w:val="00375064"/>
    <w:rsid w:val="00377B84"/>
    <w:rsid w:val="00384508"/>
    <w:rsid w:val="00384DD9"/>
    <w:rsid w:val="003A74F4"/>
    <w:rsid w:val="003A797B"/>
    <w:rsid w:val="003B1D30"/>
    <w:rsid w:val="003B4049"/>
    <w:rsid w:val="003C396C"/>
    <w:rsid w:val="003C60A0"/>
    <w:rsid w:val="003E335C"/>
    <w:rsid w:val="003E6598"/>
    <w:rsid w:val="00401F88"/>
    <w:rsid w:val="0041131D"/>
    <w:rsid w:val="00414AAB"/>
    <w:rsid w:val="00422C60"/>
    <w:rsid w:val="004231E5"/>
    <w:rsid w:val="00424366"/>
    <w:rsid w:val="004252BE"/>
    <w:rsid w:val="00425B3D"/>
    <w:rsid w:val="00426115"/>
    <w:rsid w:val="00440108"/>
    <w:rsid w:val="00443BBB"/>
    <w:rsid w:val="00446540"/>
    <w:rsid w:val="0045392B"/>
    <w:rsid w:val="00475B80"/>
    <w:rsid w:val="00482CFC"/>
    <w:rsid w:val="00485BE0"/>
    <w:rsid w:val="00486658"/>
    <w:rsid w:val="0048749A"/>
    <w:rsid w:val="00487984"/>
    <w:rsid w:val="00487F63"/>
    <w:rsid w:val="00492B69"/>
    <w:rsid w:val="00497F6E"/>
    <w:rsid w:val="004A0418"/>
    <w:rsid w:val="004A0C2D"/>
    <w:rsid w:val="004A0E52"/>
    <w:rsid w:val="004B202B"/>
    <w:rsid w:val="004D4EF6"/>
    <w:rsid w:val="004D6B63"/>
    <w:rsid w:val="004E28EF"/>
    <w:rsid w:val="004E49C7"/>
    <w:rsid w:val="004F305E"/>
    <w:rsid w:val="004F30DF"/>
    <w:rsid w:val="005012E7"/>
    <w:rsid w:val="00501D06"/>
    <w:rsid w:val="005043FB"/>
    <w:rsid w:val="005111D6"/>
    <w:rsid w:val="0051230C"/>
    <w:rsid w:val="005126C5"/>
    <w:rsid w:val="00527C89"/>
    <w:rsid w:val="00533A11"/>
    <w:rsid w:val="00543666"/>
    <w:rsid w:val="00544D2D"/>
    <w:rsid w:val="00555767"/>
    <w:rsid w:val="005573E7"/>
    <w:rsid w:val="00561EBD"/>
    <w:rsid w:val="00564AB3"/>
    <w:rsid w:val="005669C3"/>
    <w:rsid w:val="00567402"/>
    <w:rsid w:val="00567E6B"/>
    <w:rsid w:val="00571918"/>
    <w:rsid w:val="00582A37"/>
    <w:rsid w:val="005953D1"/>
    <w:rsid w:val="005961F0"/>
    <w:rsid w:val="00596D19"/>
    <w:rsid w:val="005C4D19"/>
    <w:rsid w:val="005C62EE"/>
    <w:rsid w:val="005C710D"/>
    <w:rsid w:val="005D026B"/>
    <w:rsid w:val="005E25C4"/>
    <w:rsid w:val="005E526E"/>
    <w:rsid w:val="005F04C1"/>
    <w:rsid w:val="005F73E0"/>
    <w:rsid w:val="00604702"/>
    <w:rsid w:val="00607D1D"/>
    <w:rsid w:val="0061020F"/>
    <w:rsid w:val="00620584"/>
    <w:rsid w:val="006207AF"/>
    <w:rsid w:val="00621C6B"/>
    <w:rsid w:val="0063176F"/>
    <w:rsid w:val="00634024"/>
    <w:rsid w:val="006368E0"/>
    <w:rsid w:val="00641AB7"/>
    <w:rsid w:val="00645CF8"/>
    <w:rsid w:val="00646C23"/>
    <w:rsid w:val="0065522D"/>
    <w:rsid w:val="00675FF0"/>
    <w:rsid w:val="006765F5"/>
    <w:rsid w:val="00676C74"/>
    <w:rsid w:val="00682108"/>
    <w:rsid w:val="006916C6"/>
    <w:rsid w:val="006A47C8"/>
    <w:rsid w:val="006B41CB"/>
    <w:rsid w:val="006B58DC"/>
    <w:rsid w:val="006C3FCA"/>
    <w:rsid w:val="006C5FE6"/>
    <w:rsid w:val="006D2941"/>
    <w:rsid w:val="006D6E96"/>
    <w:rsid w:val="006E781C"/>
    <w:rsid w:val="006F57A9"/>
    <w:rsid w:val="006F60C1"/>
    <w:rsid w:val="006F7F64"/>
    <w:rsid w:val="00701415"/>
    <w:rsid w:val="00714E68"/>
    <w:rsid w:val="00727CE5"/>
    <w:rsid w:val="007347E0"/>
    <w:rsid w:val="00740932"/>
    <w:rsid w:val="00740BAD"/>
    <w:rsid w:val="007411B1"/>
    <w:rsid w:val="00743A1F"/>
    <w:rsid w:val="007543B5"/>
    <w:rsid w:val="0075684A"/>
    <w:rsid w:val="00757E0C"/>
    <w:rsid w:val="007601A3"/>
    <w:rsid w:val="00766348"/>
    <w:rsid w:val="00770A3C"/>
    <w:rsid w:val="00771725"/>
    <w:rsid w:val="007742C1"/>
    <w:rsid w:val="00775E04"/>
    <w:rsid w:val="0079270C"/>
    <w:rsid w:val="00795E19"/>
    <w:rsid w:val="00797027"/>
    <w:rsid w:val="007A5193"/>
    <w:rsid w:val="007A6108"/>
    <w:rsid w:val="007B2C03"/>
    <w:rsid w:val="007B69CA"/>
    <w:rsid w:val="007C0E3A"/>
    <w:rsid w:val="007C4CBD"/>
    <w:rsid w:val="007C797D"/>
    <w:rsid w:val="007D0176"/>
    <w:rsid w:val="007D21CF"/>
    <w:rsid w:val="007D5BF5"/>
    <w:rsid w:val="007E337A"/>
    <w:rsid w:val="007E36C8"/>
    <w:rsid w:val="007E554D"/>
    <w:rsid w:val="007F07E2"/>
    <w:rsid w:val="007F5A12"/>
    <w:rsid w:val="0080245A"/>
    <w:rsid w:val="0080311A"/>
    <w:rsid w:val="00807C94"/>
    <w:rsid w:val="00811842"/>
    <w:rsid w:val="00812EAB"/>
    <w:rsid w:val="00820A9C"/>
    <w:rsid w:val="00822147"/>
    <w:rsid w:val="0082249E"/>
    <w:rsid w:val="00823991"/>
    <w:rsid w:val="00826665"/>
    <w:rsid w:val="00833457"/>
    <w:rsid w:val="008353FE"/>
    <w:rsid w:val="00835F18"/>
    <w:rsid w:val="008376C3"/>
    <w:rsid w:val="00837B12"/>
    <w:rsid w:val="0084002F"/>
    <w:rsid w:val="00840857"/>
    <w:rsid w:val="00840897"/>
    <w:rsid w:val="00846230"/>
    <w:rsid w:val="0085179D"/>
    <w:rsid w:val="00856881"/>
    <w:rsid w:val="00864906"/>
    <w:rsid w:val="00864A04"/>
    <w:rsid w:val="008826BF"/>
    <w:rsid w:val="00882B6E"/>
    <w:rsid w:val="008850E9"/>
    <w:rsid w:val="00887F27"/>
    <w:rsid w:val="008912B6"/>
    <w:rsid w:val="00891D13"/>
    <w:rsid w:val="008973E9"/>
    <w:rsid w:val="00897B5A"/>
    <w:rsid w:val="00897D37"/>
    <w:rsid w:val="008A00A3"/>
    <w:rsid w:val="008A05D7"/>
    <w:rsid w:val="008A167C"/>
    <w:rsid w:val="008A1BEB"/>
    <w:rsid w:val="008A6128"/>
    <w:rsid w:val="008B1BE3"/>
    <w:rsid w:val="008C1E71"/>
    <w:rsid w:val="008C5A7C"/>
    <w:rsid w:val="008D01E7"/>
    <w:rsid w:val="008D0E0E"/>
    <w:rsid w:val="008D34BE"/>
    <w:rsid w:val="008D3C05"/>
    <w:rsid w:val="008D696F"/>
    <w:rsid w:val="008D7D2A"/>
    <w:rsid w:val="008E50CE"/>
    <w:rsid w:val="008F131E"/>
    <w:rsid w:val="008F174D"/>
    <w:rsid w:val="00905029"/>
    <w:rsid w:val="00905266"/>
    <w:rsid w:val="009110CE"/>
    <w:rsid w:val="009271F9"/>
    <w:rsid w:val="009306AB"/>
    <w:rsid w:val="009408B0"/>
    <w:rsid w:val="00941F80"/>
    <w:rsid w:val="00950619"/>
    <w:rsid w:val="0095179A"/>
    <w:rsid w:val="00952D50"/>
    <w:rsid w:val="00960805"/>
    <w:rsid w:val="00962A81"/>
    <w:rsid w:val="0097136F"/>
    <w:rsid w:val="009770DE"/>
    <w:rsid w:val="009810FA"/>
    <w:rsid w:val="00981CDF"/>
    <w:rsid w:val="00985E9F"/>
    <w:rsid w:val="0098768F"/>
    <w:rsid w:val="0099425D"/>
    <w:rsid w:val="009A0322"/>
    <w:rsid w:val="009A0EF0"/>
    <w:rsid w:val="009A2EAC"/>
    <w:rsid w:val="009A4FC4"/>
    <w:rsid w:val="009A7149"/>
    <w:rsid w:val="009B40F2"/>
    <w:rsid w:val="009C09ED"/>
    <w:rsid w:val="009C3994"/>
    <w:rsid w:val="009D759C"/>
    <w:rsid w:val="009F01B3"/>
    <w:rsid w:val="009F08BE"/>
    <w:rsid w:val="009F1460"/>
    <w:rsid w:val="009F3E59"/>
    <w:rsid w:val="00A03293"/>
    <w:rsid w:val="00A03371"/>
    <w:rsid w:val="00A152BF"/>
    <w:rsid w:val="00A26F5B"/>
    <w:rsid w:val="00A41AB9"/>
    <w:rsid w:val="00A56F24"/>
    <w:rsid w:val="00A623FA"/>
    <w:rsid w:val="00A6290A"/>
    <w:rsid w:val="00A62C8F"/>
    <w:rsid w:val="00A63A1D"/>
    <w:rsid w:val="00A67C92"/>
    <w:rsid w:val="00A77B7D"/>
    <w:rsid w:val="00A83C60"/>
    <w:rsid w:val="00AB26E6"/>
    <w:rsid w:val="00AB3242"/>
    <w:rsid w:val="00AB3395"/>
    <w:rsid w:val="00AD0BC0"/>
    <w:rsid w:val="00AD2628"/>
    <w:rsid w:val="00AD2C09"/>
    <w:rsid w:val="00AD4B21"/>
    <w:rsid w:val="00AD61F8"/>
    <w:rsid w:val="00AE4554"/>
    <w:rsid w:val="00B003DA"/>
    <w:rsid w:val="00B028E2"/>
    <w:rsid w:val="00B04BC2"/>
    <w:rsid w:val="00B105CF"/>
    <w:rsid w:val="00B21AA2"/>
    <w:rsid w:val="00B23BF2"/>
    <w:rsid w:val="00B302F3"/>
    <w:rsid w:val="00B336DB"/>
    <w:rsid w:val="00B34C45"/>
    <w:rsid w:val="00B47A25"/>
    <w:rsid w:val="00B52B1D"/>
    <w:rsid w:val="00B60508"/>
    <w:rsid w:val="00B6557A"/>
    <w:rsid w:val="00B777C3"/>
    <w:rsid w:val="00B8784D"/>
    <w:rsid w:val="00B92320"/>
    <w:rsid w:val="00B93CE7"/>
    <w:rsid w:val="00B9542B"/>
    <w:rsid w:val="00B95D59"/>
    <w:rsid w:val="00BA7184"/>
    <w:rsid w:val="00BA790A"/>
    <w:rsid w:val="00BB6C2D"/>
    <w:rsid w:val="00BD0D2B"/>
    <w:rsid w:val="00BD2010"/>
    <w:rsid w:val="00BD44B0"/>
    <w:rsid w:val="00BE362D"/>
    <w:rsid w:val="00BE5708"/>
    <w:rsid w:val="00BF22EC"/>
    <w:rsid w:val="00BF4D4C"/>
    <w:rsid w:val="00BF6373"/>
    <w:rsid w:val="00BF716A"/>
    <w:rsid w:val="00C1031F"/>
    <w:rsid w:val="00C1258D"/>
    <w:rsid w:val="00C17E1C"/>
    <w:rsid w:val="00C20134"/>
    <w:rsid w:val="00C238A2"/>
    <w:rsid w:val="00C243CB"/>
    <w:rsid w:val="00C24C24"/>
    <w:rsid w:val="00C32C31"/>
    <w:rsid w:val="00C416DA"/>
    <w:rsid w:val="00C425F1"/>
    <w:rsid w:val="00C4560E"/>
    <w:rsid w:val="00C5081E"/>
    <w:rsid w:val="00C51C3D"/>
    <w:rsid w:val="00C545FB"/>
    <w:rsid w:val="00C579E3"/>
    <w:rsid w:val="00C6269A"/>
    <w:rsid w:val="00C6749D"/>
    <w:rsid w:val="00C73A8A"/>
    <w:rsid w:val="00C802DE"/>
    <w:rsid w:val="00C86845"/>
    <w:rsid w:val="00C87309"/>
    <w:rsid w:val="00C95E53"/>
    <w:rsid w:val="00CA2270"/>
    <w:rsid w:val="00CA7E2D"/>
    <w:rsid w:val="00CB4FEF"/>
    <w:rsid w:val="00CB7644"/>
    <w:rsid w:val="00CD2E99"/>
    <w:rsid w:val="00CD34EE"/>
    <w:rsid w:val="00CD37BB"/>
    <w:rsid w:val="00CD604C"/>
    <w:rsid w:val="00CD7F71"/>
    <w:rsid w:val="00CE03B1"/>
    <w:rsid w:val="00D1096A"/>
    <w:rsid w:val="00D15BFE"/>
    <w:rsid w:val="00D16D53"/>
    <w:rsid w:val="00D17940"/>
    <w:rsid w:val="00D20642"/>
    <w:rsid w:val="00D218EC"/>
    <w:rsid w:val="00D25677"/>
    <w:rsid w:val="00D304EB"/>
    <w:rsid w:val="00D34080"/>
    <w:rsid w:val="00D45174"/>
    <w:rsid w:val="00D53F3E"/>
    <w:rsid w:val="00D56BDD"/>
    <w:rsid w:val="00D57294"/>
    <w:rsid w:val="00D6346B"/>
    <w:rsid w:val="00D6460E"/>
    <w:rsid w:val="00D70E82"/>
    <w:rsid w:val="00D74987"/>
    <w:rsid w:val="00D83971"/>
    <w:rsid w:val="00D879EC"/>
    <w:rsid w:val="00D9108F"/>
    <w:rsid w:val="00D91772"/>
    <w:rsid w:val="00D94CCF"/>
    <w:rsid w:val="00DA0C2A"/>
    <w:rsid w:val="00DB431B"/>
    <w:rsid w:val="00DB73B5"/>
    <w:rsid w:val="00DC0770"/>
    <w:rsid w:val="00DC5D4C"/>
    <w:rsid w:val="00DD3CD1"/>
    <w:rsid w:val="00DE2511"/>
    <w:rsid w:val="00DE26D2"/>
    <w:rsid w:val="00DE46FB"/>
    <w:rsid w:val="00DF295E"/>
    <w:rsid w:val="00E002B5"/>
    <w:rsid w:val="00E00B4F"/>
    <w:rsid w:val="00E02294"/>
    <w:rsid w:val="00E03FF2"/>
    <w:rsid w:val="00E06F89"/>
    <w:rsid w:val="00E11F58"/>
    <w:rsid w:val="00E17593"/>
    <w:rsid w:val="00E229B4"/>
    <w:rsid w:val="00E25584"/>
    <w:rsid w:val="00E27821"/>
    <w:rsid w:val="00E32ACA"/>
    <w:rsid w:val="00E40C07"/>
    <w:rsid w:val="00E46F10"/>
    <w:rsid w:val="00E46FCE"/>
    <w:rsid w:val="00E515BE"/>
    <w:rsid w:val="00E51652"/>
    <w:rsid w:val="00E51803"/>
    <w:rsid w:val="00E710FF"/>
    <w:rsid w:val="00E725EE"/>
    <w:rsid w:val="00E75AD9"/>
    <w:rsid w:val="00E85B47"/>
    <w:rsid w:val="00E96016"/>
    <w:rsid w:val="00E964EF"/>
    <w:rsid w:val="00EA7F86"/>
    <w:rsid w:val="00EB16A3"/>
    <w:rsid w:val="00EB318E"/>
    <w:rsid w:val="00EB351D"/>
    <w:rsid w:val="00EB5D4C"/>
    <w:rsid w:val="00EB5D90"/>
    <w:rsid w:val="00EB6747"/>
    <w:rsid w:val="00EC14CA"/>
    <w:rsid w:val="00EC2F4B"/>
    <w:rsid w:val="00EC78FD"/>
    <w:rsid w:val="00EF519F"/>
    <w:rsid w:val="00EF7941"/>
    <w:rsid w:val="00F06E2E"/>
    <w:rsid w:val="00F076F6"/>
    <w:rsid w:val="00F078F2"/>
    <w:rsid w:val="00F07A1A"/>
    <w:rsid w:val="00F11D89"/>
    <w:rsid w:val="00F2761C"/>
    <w:rsid w:val="00F33F8C"/>
    <w:rsid w:val="00F40E26"/>
    <w:rsid w:val="00F503DE"/>
    <w:rsid w:val="00F60936"/>
    <w:rsid w:val="00F61562"/>
    <w:rsid w:val="00F720E4"/>
    <w:rsid w:val="00F73A59"/>
    <w:rsid w:val="00F75D55"/>
    <w:rsid w:val="00F831E6"/>
    <w:rsid w:val="00F838EB"/>
    <w:rsid w:val="00F96F88"/>
    <w:rsid w:val="00FA25CF"/>
    <w:rsid w:val="00FA27AB"/>
    <w:rsid w:val="00FA35A5"/>
    <w:rsid w:val="00FA4029"/>
    <w:rsid w:val="00FA6533"/>
    <w:rsid w:val="00FB12BF"/>
    <w:rsid w:val="00FB71D2"/>
    <w:rsid w:val="00FC0C2C"/>
    <w:rsid w:val="00FC27AC"/>
    <w:rsid w:val="00FC440B"/>
    <w:rsid w:val="00FC5D9F"/>
    <w:rsid w:val="00FC72A9"/>
    <w:rsid w:val="00FD26F0"/>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styleId="NichtaufgelsteErwhnung">
    <w:name w:val="Unresolved Mention"/>
    <w:basedOn w:val="Absatz-Standardschriftart"/>
    <w:uiPriority w:val="99"/>
    <w:semiHidden/>
    <w:unhideWhenUsed/>
    <w:rsid w:val="00CD37BB"/>
    <w:rPr>
      <w:color w:val="605E5C"/>
      <w:shd w:val="clear" w:color="auto" w:fill="E1DFDD"/>
    </w:rPr>
  </w:style>
  <w:style w:type="paragraph" w:styleId="berarbeitung">
    <w:name w:val="Revision"/>
    <w:hidden/>
    <w:uiPriority w:val="71"/>
    <w:rsid w:val="00401F88"/>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 w:id="159674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661</Words>
  <Characters>4167</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4819</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3</cp:revision>
  <cp:lastPrinted>2025-01-29T11:59:00Z</cp:lastPrinted>
  <dcterms:created xsi:type="dcterms:W3CDTF">2025-01-29T11:59:00Z</dcterms:created>
  <dcterms:modified xsi:type="dcterms:W3CDTF">2025-01-29T11:59:00Z</dcterms:modified>
</cp:coreProperties>
</file>